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91B" w:rsidRPr="0090791B" w:rsidRDefault="0090791B" w:rsidP="0090791B">
      <w:pPr>
        <w:rPr>
          <w:rFonts w:ascii="Verdana" w:hAnsi="Verdana"/>
          <w:b/>
          <w:sz w:val="18"/>
          <w:szCs w:val="18"/>
        </w:rPr>
      </w:pPr>
      <w:r w:rsidRPr="0090791B">
        <w:rPr>
          <w:rFonts w:ascii="Verdana" w:hAnsi="Verdana"/>
          <w:b/>
          <w:sz w:val="18"/>
          <w:szCs w:val="18"/>
        </w:rPr>
        <w:t>HAVO</w:t>
      </w:r>
    </w:p>
    <w:p w:rsidR="0090791B" w:rsidRPr="0090791B" w:rsidRDefault="0090791B" w:rsidP="0090791B">
      <w:pPr>
        <w:rPr>
          <w:rFonts w:ascii="Verdana" w:hAnsi="Verdana"/>
          <w:sz w:val="18"/>
          <w:szCs w:val="18"/>
        </w:rPr>
      </w:pPr>
      <w:r w:rsidRPr="0090791B">
        <w:rPr>
          <w:rFonts w:ascii="Verdana" w:hAnsi="Verdana"/>
          <w:sz w:val="18"/>
          <w:szCs w:val="18"/>
        </w:rPr>
        <w:t>De kenmerkende aspecten in de historische contexten</w:t>
      </w:r>
    </w:p>
    <w:p w:rsidR="0090791B" w:rsidRPr="0090791B" w:rsidRDefault="0090791B" w:rsidP="0090791B">
      <w:pPr>
        <w:rPr>
          <w:rFonts w:ascii="Verdana" w:hAnsi="Verdana"/>
          <w:sz w:val="18"/>
          <w:szCs w:val="18"/>
        </w:rPr>
      </w:pPr>
      <w:r w:rsidRPr="0090791B">
        <w:rPr>
          <w:rFonts w:ascii="Verdana" w:hAnsi="Verdana"/>
          <w:sz w:val="18"/>
          <w:szCs w:val="18"/>
        </w:rPr>
        <w:t>In hoeverre worden de aangegeven kenmerkende aspecten in de historische context behandeld?</w:t>
      </w:r>
    </w:p>
    <w:p w:rsidR="0090791B" w:rsidRPr="0090791B" w:rsidRDefault="0090791B" w:rsidP="0090791B">
      <w:pPr>
        <w:rPr>
          <w:rFonts w:ascii="Verdana" w:hAnsi="Verdana"/>
          <w:sz w:val="18"/>
          <w:szCs w:val="18"/>
        </w:rPr>
      </w:pPr>
    </w:p>
    <w:tbl>
      <w:tblPr>
        <w:tblStyle w:val="Lichtearcering-accent11"/>
        <w:tblW w:w="0" w:type="auto"/>
        <w:tblLook w:val="0600" w:firstRow="0" w:lastRow="0" w:firstColumn="0" w:lastColumn="0" w:noHBand="1" w:noVBand="1"/>
      </w:tblPr>
      <w:tblGrid>
        <w:gridCol w:w="6084"/>
        <w:gridCol w:w="1120"/>
        <w:gridCol w:w="982"/>
        <w:gridCol w:w="876"/>
      </w:tblGrid>
      <w:tr w:rsidR="0090791B" w:rsidRPr="0090791B" w:rsidTr="004D401F">
        <w:trPr>
          <w:cantSplit/>
          <w:trHeight w:val="11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/>
                <w:sz w:val="18"/>
                <w:szCs w:val="18"/>
              </w:rPr>
              <w:t>Het Britse Rijk</w:t>
            </w:r>
          </w:p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90791B" w:rsidRPr="0090791B" w:rsidRDefault="0090791B" w:rsidP="004D401F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/>
                <w:sz w:val="18"/>
                <w:szCs w:val="18"/>
              </w:rPr>
              <w:t>helemaal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90791B" w:rsidRPr="0090791B" w:rsidRDefault="0090791B" w:rsidP="004D401F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/>
                <w:sz w:val="18"/>
                <w:szCs w:val="18"/>
              </w:rPr>
              <w:t>deels</w:t>
            </w:r>
          </w:p>
          <w:p w:rsidR="0090791B" w:rsidRPr="0090791B" w:rsidRDefault="0090791B" w:rsidP="004D401F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90791B" w:rsidRPr="0090791B" w:rsidRDefault="0090791B" w:rsidP="004D401F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/>
                <w:sz w:val="18"/>
                <w:szCs w:val="18"/>
              </w:rPr>
              <w:t>als voorbeeld</w:t>
            </w: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 w:cs="Calibri"/>
                <w:color w:val="000000"/>
                <w:sz w:val="18"/>
                <w:szCs w:val="18"/>
              </w:rPr>
              <w:t>18. het begin van de Europese overzeese expansie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 w:cs="Calibri"/>
                <w:color w:val="000000"/>
                <w:sz w:val="18"/>
                <w:szCs w:val="18"/>
              </w:rPr>
              <w:t>21. de protestantse reformatie die splitsing van de christelijke kerk in West-Europa tot gevolg had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25. wereldwijde handelscontacten, handelskapitalisme en het begin van een wereldeconomie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27. rationeel optimisme en ‘verlicht denken’ dat werd toegepast op alle terreinen van de samenleving: godsdienst, politiek., economie en sociale verhoudingen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29. uitbouw van de Europese overheersing, met name in de vorm van plantagekoloniën en de daarmee verbonden </w:t>
            </w:r>
            <w:proofErr w:type="spellStart"/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transatlantische</w:t>
            </w:r>
            <w:proofErr w:type="spellEnd"/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slavenhandel, en de opkomst van het abolitionisme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30. de democratische revoluties in westerse landen met als gevolg discussies over grondwetten, grondrechten en staats burgerschap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31. de industriële revolutie die in de westerse wereld de basis legde voor een industriële samenleving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32. discussies over de ‘sociale kwestie’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33. de moderne vorm van imperialisme die verband hield met de industrialisatie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1B" w:rsidRPr="0090791B" w:rsidRDefault="0090791B" w:rsidP="004D401F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34. de opkomst van emancipatiebewegingen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35. voortschrijdende democratisering, met deelname van steeds meer mannen en vrouwen aan het politieke proces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36. de opkomst van politiek-maatschappelijke stromingen: liberalisme, nationalisme, socialisme, confessionalisme en feminisme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791B" w:rsidRPr="0090791B" w:rsidRDefault="0090791B" w:rsidP="0090791B">
      <w:pPr>
        <w:rPr>
          <w:rFonts w:ascii="Verdana" w:hAnsi="Verdana"/>
          <w:sz w:val="18"/>
          <w:szCs w:val="18"/>
        </w:rPr>
      </w:pPr>
    </w:p>
    <w:tbl>
      <w:tblPr>
        <w:tblStyle w:val="Lichtearcering-accent11"/>
        <w:tblW w:w="0" w:type="auto"/>
        <w:tblLook w:val="0600" w:firstRow="0" w:lastRow="0" w:firstColumn="0" w:lastColumn="0" w:noHBand="1" w:noVBand="1"/>
      </w:tblPr>
      <w:tblGrid>
        <w:gridCol w:w="6088"/>
        <w:gridCol w:w="1118"/>
        <w:gridCol w:w="981"/>
        <w:gridCol w:w="875"/>
      </w:tblGrid>
      <w:tr w:rsidR="0090791B" w:rsidRPr="0090791B" w:rsidTr="004D401F">
        <w:trPr>
          <w:cantSplit/>
          <w:trHeight w:val="1134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/>
                <w:sz w:val="18"/>
                <w:szCs w:val="18"/>
              </w:rPr>
              <w:t>Duitsland in Europa</w:t>
            </w:r>
          </w:p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90791B" w:rsidRPr="0090791B" w:rsidRDefault="0090791B" w:rsidP="004D401F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/>
                <w:sz w:val="18"/>
                <w:szCs w:val="18"/>
              </w:rPr>
              <w:t>helemaal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90791B" w:rsidRPr="0090791B" w:rsidRDefault="0090791B" w:rsidP="004D401F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/>
                <w:sz w:val="18"/>
                <w:szCs w:val="18"/>
              </w:rPr>
              <w:t>deels</w:t>
            </w:r>
          </w:p>
          <w:p w:rsidR="0090791B" w:rsidRPr="0090791B" w:rsidRDefault="0090791B" w:rsidP="004D401F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90791B" w:rsidRPr="0090791B" w:rsidRDefault="0090791B" w:rsidP="004D401F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/>
                <w:sz w:val="18"/>
                <w:szCs w:val="18"/>
              </w:rPr>
              <w:t>als voorbeeld</w:t>
            </w:r>
          </w:p>
        </w:tc>
      </w:tr>
      <w:tr w:rsidR="0090791B" w:rsidRPr="0090791B" w:rsidTr="004D401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37. de rol van moderne propaganda- en communicatiemiddelen en vormen van massaorganisatie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38. het in praktijk brengen van de totalitaire ideologieën communisme en fascisme/nationaalsocialisme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39. de crisis van het wereldkapitalisme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40. het voeren van twee wereldoorlogen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41. racisme en discriminatie die leidden tot genocide, in het bijzonder op de joden;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42. de Duitse bezetting van Nederland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45. de verdeling van de wereld in twee ideologische blokken in de greep van een wapenwedloop en de daaruit voortvloeiende dreiging van een atoomoorlog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1B" w:rsidRPr="0090791B" w:rsidRDefault="0090791B" w:rsidP="004D401F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47. de eenwording van Europa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48. de toenemende westerse welvaart die vanaf de jaren zestig van de twintigste eeuw aanleiding gaf tot ingrijpende sociaal-culturele veranderingsprocessen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791B" w:rsidRPr="0090791B" w:rsidRDefault="0090791B" w:rsidP="0090791B">
      <w:pPr>
        <w:rPr>
          <w:rFonts w:ascii="Verdana" w:hAnsi="Verdana"/>
          <w:sz w:val="18"/>
          <w:szCs w:val="18"/>
        </w:rPr>
      </w:pPr>
    </w:p>
    <w:tbl>
      <w:tblPr>
        <w:tblStyle w:val="Lichtearcering-accent11"/>
        <w:tblW w:w="0" w:type="auto"/>
        <w:tblLook w:val="0600" w:firstRow="0" w:lastRow="0" w:firstColumn="0" w:lastColumn="0" w:noHBand="1" w:noVBand="1"/>
      </w:tblPr>
      <w:tblGrid>
        <w:gridCol w:w="6084"/>
        <w:gridCol w:w="1120"/>
        <w:gridCol w:w="982"/>
        <w:gridCol w:w="876"/>
      </w:tblGrid>
      <w:tr w:rsidR="0090791B" w:rsidRPr="0090791B" w:rsidTr="004D401F">
        <w:trPr>
          <w:cantSplit/>
          <w:trHeight w:val="11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/>
                <w:sz w:val="18"/>
                <w:szCs w:val="18"/>
              </w:rPr>
              <w:t>Nederland 1948-2008</w:t>
            </w:r>
          </w:p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90791B" w:rsidRPr="0090791B" w:rsidRDefault="0090791B" w:rsidP="004D401F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/>
                <w:sz w:val="18"/>
                <w:szCs w:val="18"/>
              </w:rPr>
              <w:t>helemaal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90791B" w:rsidRPr="0090791B" w:rsidRDefault="0090791B" w:rsidP="004D401F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/>
                <w:sz w:val="18"/>
                <w:szCs w:val="18"/>
              </w:rPr>
              <w:t>deels</w:t>
            </w:r>
          </w:p>
          <w:p w:rsidR="0090791B" w:rsidRPr="0090791B" w:rsidRDefault="0090791B" w:rsidP="004D401F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90791B" w:rsidRPr="0090791B" w:rsidRDefault="0090791B" w:rsidP="004D401F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hAnsi="Verdana"/>
                <w:sz w:val="18"/>
                <w:szCs w:val="18"/>
              </w:rPr>
              <w:t>als voorbeeld</w:t>
            </w: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45. de verdeling van de wereld in twee ideologische blokken in de greep van een wapenwedloop en de daaruit voortvloeiende dreiging van een atoomoorlog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bookmarkStart w:id="0" w:name="_GoBack"/>
        <w:bookmarkEnd w:id="0"/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0791B">
              <w:rPr>
                <w:rFonts w:ascii="Verdana" w:hAnsi="Verdana" w:cs="Calibri"/>
                <w:color w:val="000000"/>
                <w:sz w:val="18"/>
                <w:szCs w:val="18"/>
              </w:rPr>
              <w:t>46. de dekolonisatie die een eind maakte aan de westerse hegemonie in de wereld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1B" w:rsidRPr="0090791B" w:rsidRDefault="0090791B" w:rsidP="004D401F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47. de eenwording van Europa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  <w:r w:rsidRPr="0090791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48. de toenemende westerse welvaart die vanaf de jaren zestig van de twintigste eeuw aanleiding gaf tot ingrijpende sociaal-culturele veranderingsprocessen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791B" w:rsidRPr="0090791B" w:rsidTr="004D401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90791B">
              <w:rPr>
                <w:rFonts w:ascii="Verdana" w:hAnsi="Verdana" w:cs="Calibri"/>
                <w:color w:val="000000"/>
                <w:sz w:val="18"/>
                <w:szCs w:val="18"/>
              </w:rPr>
              <w:t>49. de ontwikkeling van pluriforme en multiculturele samenlevingen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1B" w:rsidRPr="0090791B" w:rsidRDefault="0090791B" w:rsidP="004D401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791B" w:rsidRPr="0090791B" w:rsidRDefault="0090791B" w:rsidP="0090791B">
      <w:pPr>
        <w:rPr>
          <w:sz w:val="18"/>
          <w:szCs w:val="18"/>
        </w:rPr>
      </w:pPr>
    </w:p>
    <w:sectPr w:rsidR="0090791B" w:rsidRPr="0090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1B"/>
    <w:rsid w:val="0090791B"/>
    <w:rsid w:val="0094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35D3"/>
  <w15:chartTrackingRefBased/>
  <w15:docId w15:val="{4AC46316-E454-4AC2-91DE-0A481199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0791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ichtearcering-accent11">
    <w:name w:val="Lichte arcering - accent 11"/>
    <w:basedOn w:val="Standaardtabel"/>
    <w:uiPriority w:val="60"/>
    <w:rsid w:val="0090791B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Dirks</dc:creator>
  <cp:keywords/>
  <dc:description/>
  <cp:lastModifiedBy>Liesbeth Dirks</cp:lastModifiedBy>
  <cp:revision>1</cp:revision>
  <dcterms:created xsi:type="dcterms:W3CDTF">2019-01-28T16:25:00Z</dcterms:created>
  <dcterms:modified xsi:type="dcterms:W3CDTF">2019-01-28T16:32:00Z</dcterms:modified>
</cp:coreProperties>
</file>